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盱眙县“十四五”期间农村客运补贴和城市交通发展奖励资金使用管理实施细则（试行）</w:t>
      </w:r>
    </w:p>
    <w:bookmarkEnd w:id="0"/>
    <w:p>
      <w:pPr>
        <w:spacing w:after="0" w:line="56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after="0" w:line="55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both"/>
        <w:textAlignment w:val="auto"/>
        <w:rPr>
          <w:rFonts w:ascii="Times New Roman" w:hAnsi="Times New Roman" w:eastAsia="方正仿宋_GBK"/>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w:t>
      </w:r>
      <w:r>
        <w:rPr>
          <w:rFonts w:hint="eastAsia" w:ascii="Times New Roman" w:hAnsi="Times New Roman" w:eastAsia="方正仿宋_GBK" w:cs="仿宋"/>
          <w:sz w:val="32"/>
          <w:szCs w:val="32"/>
        </w:rPr>
        <w:t>为加强全县“十四五”农村客运补贴和城市交通发展奖励资金管理，提升农村客运普遍服务能力、促进农村客运高质量发展和转型升级、维护出租汽车行业稳定、优先发展城市公共交通、落实节能减排任务，根据《财政部交通运输部关于调整农村客运、出租车油价补贴政策的通知》（</w:t>
      </w:r>
      <w:r>
        <w:rPr>
          <w:rFonts w:hint="eastAsia" w:ascii="Times New Roman" w:hAnsi="Times New Roman" w:eastAsia="方正仿宋_GBK" w:cs="仿宋"/>
          <w:kern w:val="0"/>
          <w:sz w:val="32"/>
          <w:szCs w:val="32"/>
        </w:rPr>
        <w:t>财建〔2022〕1号</w:t>
      </w:r>
      <w:r>
        <w:rPr>
          <w:rFonts w:hint="eastAsia" w:ascii="Times New Roman" w:hAnsi="Times New Roman" w:eastAsia="方正仿宋_GBK" w:cs="仿宋"/>
          <w:sz w:val="32"/>
          <w:szCs w:val="32"/>
        </w:rPr>
        <w:t>）和江苏省财政厅、江苏省交通运输厅《关于印发</w:t>
      </w:r>
      <w:r>
        <w:rPr>
          <w:rFonts w:hint="eastAsia" w:ascii="Times New Roman" w:hAnsi="Times New Roman" w:eastAsia="方正仿宋_GBK" w:cs="仿宋"/>
          <w:sz w:val="32"/>
          <w:szCs w:val="32"/>
          <w:lang w:eastAsia="zh-CN"/>
        </w:rPr>
        <w:t>〈</w:t>
      </w:r>
      <w:r>
        <w:rPr>
          <w:rFonts w:hint="eastAsia" w:ascii="Times New Roman" w:hAnsi="Times New Roman" w:eastAsia="方正仿宋_GBK" w:cs="仿宋"/>
          <w:sz w:val="32"/>
          <w:szCs w:val="32"/>
        </w:rPr>
        <w:t>江苏省农村客运和城市交通发展奖励资金管理办法</w:t>
      </w:r>
      <w:r>
        <w:rPr>
          <w:rFonts w:hint="eastAsia" w:ascii="Times New Roman" w:hAnsi="Times New Roman" w:eastAsia="方正仿宋_GBK" w:cs="仿宋"/>
          <w:sz w:val="32"/>
          <w:szCs w:val="32"/>
          <w:lang w:eastAsia="zh-CN"/>
        </w:rPr>
        <w:t>〉</w:t>
      </w:r>
      <w:r>
        <w:rPr>
          <w:rFonts w:hint="eastAsia" w:ascii="Times New Roman" w:hAnsi="Times New Roman" w:eastAsia="方正仿宋_GBK" w:cs="仿宋"/>
          <w:sz w:val="32"/>
          <w:szCs w:val="32"/>
        </w:rPr>
        <w:t>的通知》（苏财建</w:t>
      </w:r>
      <w:r>
        <w:rPr>
          <w:rFonts w:hint="eastAsia" w:ascii="Times New Roman" w:hAnsi="Times New Roman" w:eastAsia="方正仿宋_GBK" w:cs="仿宋"/>
          <w:kern w:val="0"/>
          <w:sz w:val="32"/>
          <w:szCs w:val="32"/>
        </w:rPr>
        <w:t>〔2022〕83号</w:t>
      </w:r>
      <w:r>
        <w:rPr>
          <w:rFonts w:hint="eastAsia" w:ascii="Times New Roman" w:hAnsi="Times New Roman" w:eastAsia="方正仿宋_GBK" w:cs="仿宋"/>
          <w:sz w:val="32"/>
          <w:szCs w:val="32"/>
        </w:rPr>
        <w:t>）等，制定本实施细则。</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textAlignment w:val="auto"/>
        <w:rPr>
          <w:rFonts w:hint="eastAsia" w:ascii="Times New Roman" w:hAnsi="Times New Roman" w:eastAsia="方正仿宋_GBK" w:cs="仿宋"/>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w:t>
      </w:r>
      <w:r>
        <w:rPr>
          <w:rFonts w:hint="eastAsia" w:ascii="Times New Roman" w:hAnsi="Times New Roman" w:eastAsia="方正仿宋_GBK" w:cs="仿宋"/>
          <w:sz w:val="32"/>
          <w:szCs w:val="32"/>
        </w:rPr>
        <w:t>本细则所称的农村客运补贴资金和城市交通发展奖励资金（以下合并简称“补贴资金”），是指原农村客运、出租车油价补贴政策调整后中央财政下达的资金。其中，农村客运油价补贴资金调整为农村客运补贴资金，出租车油价补贴资金调整为城市交通发展奖励资金。</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textAlignment w:val="auto"/>
        <w:rPr>
          <w:rFonts w:hint="eastAsia" w:ascii="Times New Roman" w:hAnsi="Times New Roman" w:eastAsia="方正仿宋_GBK" w:cs="仿宋"/>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w:t>
      </w:r>
      <w:r>
        <w:rPr>
          <w:rFonts w:hint="eastAsia" w:ascii="Times New Roman" w:hAnsi="Times New Roman" w:eastAsia="方正仿宋_GBK" w:cs="仿宋"/>
          <w:sz w:val="32"/>
          <w:szCs w:val="32"/>
        </w:rPr>
        <w:t>补贴资金使用管理遵循“明确责任、统筹兼顾、注重绩效、平稳推进”原则。</w:t>
      </w:r>
    </w:p>
    <w:p>
      <w:pPr>
        <w:keepNext w:val="0"/>
        <w:keepLines w:val="0"/>
        <w:pageBreakBefore w:val="0"/>
        <w:widowControl w:val="0"/>
        <w:kinsoku/>
        <w:wordWrap/>
        <w:overflowPunct/>
        <w:topLinePunct w:val="0"/>
        <w:autoSpaceDE/>
        <w:autoSpaceDN/>
        <w:bidi w:val="0"/>
        <w:adjustRightInd/>
        <w:snapToGrid/>
        <w:spacing w:after="0" w:line="550" w:lineRule="exact"/>
        <w:jc w:val="center"/>
        <w:textAlignment w:val="auto"/>
        <w:rPr>
          <w:rFonts w:ascii="黑体" w:hAnsi="黑体" w:eastAsia="黑体" w:cs="黑体"/>
          <w:sz w:val="32"/>
          <w:szCs w:val="32"/>
        </w:rPr>
      </w:pPr>
      <w:r>
        <w:rPr>
          <w:rFonts w:hint="eastAsia" w:ascii="黑体" w:hAnsi="黑体" w:eastAsia="黑体" w:cs="黑体"/>
          <w:sz w:val="32"/>
          <w:szCs w:val="32"/>
        </w:rPr>
        <w:t>第二章 管理职责</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textAlignment w:val="auto"/>
        <w:rPr>
          <w:rFonts w:hint="eastAsia" w:ascii="Times New Roman" w:hAnsi="Times New Roman" w:eastAsia="方正仿宋_GBK" w:cs="仿宋"/>
          <w:sz w:val="32"/>
          <w:szCs w:val="32"/>
        </w:rPr>
      </w:pPr>
      <w:r>
        <w:rPr>
          <w:rFonts w:hint="eastAsia" w:ascii="仿宋" w:hAnsi="仿宋" w:eastAsia="仿宋" w:cs="仿宋"/>
          <w:b/>
          <w:sz w:val="32"/>
          <w:szCs w:val="32"/>
        </w:rPr>
        <w:t>第四条</w:t>
      </w:r>
      <w:r>
        <w:rPr>
          <w:rFonts w:hint="eastAsia" w:ascii="仿宋_GB2312" w:eastAsia="仿宋_GB2312"/>
          <w:sz w:val="32"/>
          <w:szCs w:val="32"/>
        </w:rPr>
        <w:t xml:space="preserve"> </w:t>
      </w:r>
      <w:r>
        <w:rPr>
          <w:rFonts w:hint="eastAsia" w:ascii="Times New Roman" w:hAnsi="Times New Roman" w:eastAsia="方正仿宋_GBK" w:cs="仿宋"/>
          <w:sz w:val="32"/>
          <w:szCs w:val="32"/>
        </w:rPr>
        <w:t>补贴资金的申报、发放过程中，县交通主管部门每年组织开展政策宣贯，下达上一年度补贴资金发放通知；提出补助资金分配方案；建立健全工作台账，做好统计核算、补贴资金申报等工作，依规组织补贴资金发放，严格补贴资金使用管理；指导农村客运运营管理，统计运营数据，实施农村客运发展情况考核；监督补贴资金使用。</w:t>
      </w:r>
    </w:p>
    <w:p>
      <w:pPr>
        <w:keepNext w:val="0"/>
        <w:keepLines w:val="0"/>
        <w:pageBreakBefore w:val="0"/>
        <w:widowControl w:val="0"/>
        <w:kinsoku/>
        <w:wordWrap/>
        <w:overflowPunct/>
        <w:topLinePunct w:val="0"/>
        <w:autoSpaceDE/>
        <w:autoSpaceDN/>
        <w:bidi w:val="0"/>
        <w:adjustRightInd/>
        <w:snapToGrid/>
        <w:spacing w:after="0" w:line="550" w:lineRule="exact"/>
        <w:jc w:val="center"/>
        <w:textAlignment w:val="auto"/>
        <w:rPr>
          <w:rFonts w:ascii="仿宋_GB2312" w:eastAsia="仿宋_GB2312"/>
          <w:sz w:val="32"/>
          <w:szCs w:val="32"/>
        </w:rPr>
      </w:pPr>
      <w:r>
        <w:rPr>
          <w:rFonts w:hint="eastAsia" w:ascii="黑体" w:hAnsi="黑体" w:eastAsia="黑体"/>
          <w:color w:val="000000"/>
          <w:sz w:val="32"/>
          <w:szCs w:val="32"/>
          <w:shd w:val="clear" w:color="auto" w:fill="FFFFFF"/>
        </w:rPr>
        <w:t>第三章 </w:t>
      </w:r>
      <w:r>
        <w:rPr>
          <w:rFonts w:ascii="Calibri" w:hAnsi="Calibri" w:eastAsia="黑体" w:cs="Calibri"/>
          <w:color w:val="000000"/>
          <w:sz w:val="32"/>
          <w:szCs w:val="32"/>
          <w:shd w:val="clear" w:color="auto" w:fill="FFFFFF"/>
        </w:rPr>
        <w:t> </w:t>
      </w:r>
      <w:r>
        <w:rPr>
          <w:rFonts w:hint="eastAsia" w:ascii="黑体" w:hAnsi="黑体" w:eastAsia="黑体"/>
          <w:color w:val="000000"/>
          <w:sz w:val="32"/>
          <w:szCs w:val="32"/>
          <w:shd w:val="clear" w:color="auto" w:fill="FFFFFF"/>
        </w:rPr>
        <w:t>资金使用范围</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第五条</w:t>
      </w:r>
      <w:r>
        <w:rPr>
          <w:rFonts w:hint="eastAsia" w:ascii="Times New Roman" w:hAnsi="Times New Roman" w:eastAsia="方正仿宋_GBK" w:cs="仿宋"/>
          <w:sz w:val="32"/>
          <w:szCs w:val="32"/>
        </w:rPr>
        <w:t xml:space="preserve"> 补贴资金分为费改税补贴和涨价补贴两部分。</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both"/>
        <w:textAlignment w:val="auto"/>
        <w:rPr>
          <w:rFonts w:hint="eastAsia" w:ascii="Times New Roman" w:hAnsi="Times New Roman" w:eastAsia="方正仿宋_GBK" w:cs="仿宋"/>
          <w:sz w:val="32"/>
          <w:szCs w:val="32"/>
        </w:rPr>
      </w:pPr>
      <w:r>
        <w:rPr>
          <w:rFonts w:hint="eastAsia" w:ascii="仿宋" w:hAnsi="仿宋" w:eastAsia="仿宋" w:cs="仿宋"/>
          <w:b/>
          <w:sz w:val="32"/>
          <w:szCs w:val="32"/>
        </w:rPr>
        <w:t xml:space="preserve">第六条 </w:t>
      </w:r>
      <w:r>
        <w:rPr>
          <w:rFonts w:hint="eastAsia" w:ascii="Times New Roman" w:hAnsi="Times New Roman" w:eastAsia="方正仿宋_GBK" w:cs="仿宋"/>
          <w:sz w:val="32"/>
          <w:szCs w:val="32"/>
        </w:rPr>
        <w:t>农村客运费改税补贴资金和城市交通发展奖励资金的费改税补贴部分，保持上一轮油价补贴政策费改税基数不变（即继续以2014年实际执行数为基数，见附表），该部分补贴资金直接发放给农村客运经营者和出租车司机。</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Times New Roman" w:hAnsi="Times New Roman" w:eastAsia="方正仿宋_GBK" w:cs="仿宋"/>
          <w:sz w:val="32"/>
          <w:szCs w:val="32"/>
        </w:rPr>
      </w:pPr>
      <w:r>
        <w:rPr>
          <w:rFonts w:hint="eastAsia" w:ascii="仿宋" w:hAnsi="仿宋" w:eastAsia="仿宋" w:cs="仿宋"/>
          <w:b/>
          <w:sz w:val="32"/>
          <w:szCs w:val="32"/>
        </w:rPr>
        <w:t xml:space="preserve">第七条 </w:t>
      </w:r>
      <w:r>
        <w:rPr>
          <w:rFonts w:hint="eastAsia" w:ascii="Times New Roman" w:hAnsi="Times New Roman" w:eastAsia="方正仿宋_GBK" w:cs="仿宋"/>
          <w:sz w:val="32"/>
          <w:szCs w:val="32"/>
        </w:rPr>
        <w:t>农村客运补贴资金的涨价补贴部分，按上一轮油价补贴政策农村客运涨价补贴各地补贴额占全省总额的比例同比分配（即以2014年实际执行数为基础测算各地补助额，见附表），涨价部分结合我县实际统筹用于支持农村客运发展，包括农村道路客运场站等基础</w:t>
      </w:r>
      <w:r>
        <w:rPr>
          <w:rFonts w:hint="eastAsia" w:ascii="Times New Roman" w:hAnsi="Times New Roman" w:eastAsia="方正仿宋_GBK" w:cs="仿宋"/>
          <w:sz w:val="32"/>
          <w:szCs w:val="32"/>
          <w:lang w:eastAsia="zh-CN"/>
        </w:rPr>
        <w:t>设施</w:t>
      </w:r>
      <w:r>
        <w:rPr>
          <w:rFonts w:hint="eastAsia" w:ascii="Times New Roman" w:hAnsi="Times New Roman" w:eastAsia="方正仿宋_GBK" w:cs="仿宋"/>
          <w:sz w:val="32"/>
          <w:szCs w:val="32"/>
        </w:rPr>
        <w:t>建设维护、岛际和水路客运。对原享受补贴资金的企业，因经营范围变更，已不从事农村客运经营的，自停止从事农村客运经营之日起，该企业所占补贴资金的份额，全部归于承担其原农村客运经营的企业。</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b/>
          <w:sz w:val="32"/>
          <w:szCs w:val="32"/>
        </w:rPr>
        <w:t>第八条</w:t>
      </w:r>
      <w:r>
        <w:rPr>
          <w:rFonts w:hint="eastAsia" w:ascii="方正仿宋_GBK" w:hAnsi="方正仿宋_GBK" w:eastAsia="方正仿宋_GBK" w:cs="方正仿宋_GBK"/>
          <w:sz w:val="32"/>
          <w:szCs w:val="32"/>
        </w:rPr>
        <w:t xml:space="preserve"> 城市交通发展奖励资金的涨价补贴部分结合我县实际统筹用于支持城乡客运一体化达标县创建、出租汽车行业持续稳定发展、出租车加快电动化和城市交通领域新能源汽车运营等方面</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50" w:lineRule="exact"/>
        <w:jc w:val="center"/>
        <w:textAlignment w:val="auto"/>
        <w:rPr>
          <w:rFonts w:ascii="黑体" w:hAnsi="黑体" w:eastAsia="黑体" w:cs="黑体"/>
          <w:sz w:val="32"/>
          <w:szCs w:val="32"/>
        </w:rPr>
      </w:pPr>
      <w:r>
        <w:rPr>
          <w:rFonts w:hint="eastAsia" w:ascii="黑体" w:hAnsi="黑体" w:eastAsia="黑体" w:cs="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both"/>
        <w:textAlignment w:val="auto"/>
        <w:rPr>
          <w:rFonts w:hint="eastAsia" w:ascii="方正仿宋_GBK" w:hAnsi="方正仿宋_GBK" w:eastAsia="方正仿宋_GBK" w:cs="方正仿宋_GBK"/>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补贴资金的发放管理做到程序规范、公开透明，资金政策文件、管理制度、资金分配结果等信息及时向社会公开，接受社会监督。县交通运输主管部门应当加强补贴资金信息公开工作，自觉接受社会监督和审计机关对补贴资金预算执行、支出活动的审计监督。</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both"/>
        <w:textAlignment w:val="auto"/>
        <w:rPr>
          <w:rFonts w:hint="eastAsia" w:ascii="方正仿宋_GBK" w:hAnsi="方正仿宋_GBK" w:eastAsia="方正仿宋_GBK" w:cs="方正仿宋_GBK"/>
          <w:sz w:val="32"/>
          <w:szCs w:val="32"/>
        </w:rPr>
      </w:pPr>
      <w:r>
        <w:rPr>
          <w:rFonts w:hint="eastAsia" w:ascii="仿宋" w:hAnsi="仿宋" w:eastAsia="仿宋" w:cs="仿宋"/>
          <w:b/>
          <w:sz w:val="32"/>
          <w:szCs w:val="32"/>
        </w:rPr>
        <w:t>第十条</w:t>
      </w:r>
      <w:r>
        <w:rPr>
          <w:rFonts w:hint="eastAsia" w:ascii="仿宋" w:hAnsi="仿宋" w:eastAsia="仿宋"/>
          <w:color w:val="000000"/>
          <w:sz w:val="32"/>
          <w:szCs w:val="32"/>
          <w:shd w:val="clear" w:color="auto" w:fill="FFFFFF"/>
        </w:rPr>
        <w:t xml:space="preserve"> </w:t>
      </w:r>
      <w:r>
        <w:rPr>
          <w:rFonts w:hint="eastAsia" w:ascii="方正仿宋_GBK" w:hAnsi="方正仿宋_GBK" w:eastAsia="方正仿宋_GBK" w:cs="方正仿宋_GBK"/>
          <w:sz w:val="32"/>
          <w:szCs w:val="32"/>
        </w:rPr>
        <w:t>县交通运输主管部门结合本地实际制定实施细则或拨付方案，加强和规范补贴资金使用管理，做好补贴资金发放，完成省市确定的农村客运和城市交通发展等支持事项年度目标任务，确保行业持续健康稳定发展。</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仿宋" w:hAnsi="仿宋" w:eastAsia="仿宋" w:cs="仿宋"/>
          <w:b/>
          <w:bCs/>
          <w:sz w:val="32"/>
          <w:szCs w:val="32"/>
        </w:rPr>
        <w:t>第十一条</w:t>
      </w:r>
      <w:r>
        <w:rPr>
          <w:rFonts w:hint="eastAsia" w:ascii="仿宋_GB2312" w:eastAsia="仿宋_GB2312"/>
          <w:sz w:val="32"/>
          <w:szCs w:val="32"/>
        </w:rPr>
        <w:t xml:space="preserve"> </w:t>
      </w:r>
      <w:r>
        <w:rPr>
          <w:rFonts w:hint="eastAsia" w:ascii="方正仿宋_GBK" w:hAnsi="方正仿宋_GBK" w:eastAsia="方正仿宋_GBK" w:cs="方正仿宋_GBK"/>
          <w:sz w:val="32"/>
          <w:szCs w:val="32"/>
        </w:rPr>
        <w:t>县交通运输部门及其工作人员在资金管理过程中，存在违反本细则规定的行为，以及其他</w:t>
      </w:r>
      <w:r>
        <w:rPr>
          <w:rFonts w:hint="eastAsia" w:ascii="方正仿宋_GBK" w:hAnsi="方正仿宋_GBK" w:eastAsia="方正仿宋_GBK" w:cs="方正仿宋_GBK"/>
          <w:sz w:val="32"/>
          <w:szCs w:val="32"/>
          <w:lang w:eastAsia="zh-CN"/>
        </w:rPr>
        <w:t>滥用职权</w:t>
      </w:r>
      <w:r>
        <w:rPr>
          <w:rFonts w:hint="eastAsia" w:ascii="方正仿宋_GBK" w:hAnsi="方正仿宋_GBK" w:eastAsia="方正仿宋_GBK" w:cs="方正仿宋_GBK"/>
          <w:sz w:val="32"/>
          <w:szCs w:val="32"/>
        </w:rPr>
        <w:t>、玩忽职守、徇私舞弊等违法违纪行为的，依照国家相关法律法规规定追究相应责任；涉嫌犯罪的，依法移送司法机关处理。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jc w:val="both"/>
        <w:textAlignment w:val="auto"/>
        <w:rPr>
          <w:rFonts w:hint="eastAsia" w:ascii="方正仿宋_GBK" w:hAnsi="方正仿宋_GBK" w:eastAsia="方正仿宋_GBK" w:cs="方正仿宋_GBK"/>
          <w:sz w:val="32"/>
          <w:szCs w:val="32"/>
        </w:rPr>
      </w:pPr>
      <w:r>
        <w:rPr>
          <w:rFonts w:hint="eastAsia" w:ascii="仿宋" w:hAnsi="仿宋" w:eastAsia="仿宋" w:cs="仿宋"/>
          <w:b/>
          <w:sz w:val="32"/>
          <w:szCs w:val="32"/>
        </w:rPr>
        <w:t>第十二条</w:t>
      </w:r>
      <w:r>
        <w:rPr>
          <w:rFonts w:hint="eastAsia" w:ascii="仿宋" w:hAnsi="仿宋" w:eastAsia="仿宋" w:cs="Times New Roman"/>
          <w:b/>
          <w:bCs/>
          <w:color w:val="000000"/>
          <w:sz w:val="32"/>
          <w:szCs w:val="32"/>
          <w:shd w:val="clear" w:color="auto" w:fill="FFFFFF"/>
        </w:rPr>
        <w:t xml:space="preserve"> </w:t>
      </w:r>
      <w:r>
        <w:rPr>
          <w:rFonts w:hint="eastAsia" w:ascii="方正仿宋_GBK" w:hAnsi="方正仿宋_GBK" w:eastAsia="方正仿宋_GBK" w:cs="方正仿宋_GBK"/>
          <w:sz w:val="32"/>
          <w:szCs w:val="32"/>
        </w:rPr>
        <w:t>取得补贴资金支持的经营者应当对专项资金使用的合规性、有效性负责。应当按照国家有关财务、会计制度的规定进行账务处理，严格按照规定使用资金，并自觉接受交通、财政、审计等部门的监督检查。应当按照国家档案管理有关规定妥善保管相关材料，以备核查。</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textAlignment w:val="auto"/>
        <w:rPr>
          <w:rFonts w:hint="eastAsia" w:ascii="方正仿宋_GBK" w:hAnsi="方正仿宋_GBK" w:eastAsia="方正仿宋_GBK" w:cs="方正仿宋_GBK"/>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本细则由县交通运输局负责解释。</w:t>
      </w:r>
    </w:p>
    <w:p>
      <w:pPr>
        <w:keepNext w:val="0"/>
        <w:keepLines w:val="0"/>
        <w:pageBreakBefore w:val="0"/>
        <w:widowControl w:val="0"/>
        <w:kinsoku/>
        <w:wordWrap/>
        <w:overflowPunct/>
        <w:topLinePunct w:val="0"/>
        <w:autoSpaceDE/>
        <w:autoSpaceDN/>
        <w:bidi w:val="0"/>
        <w:adjustRightInd/>
        <w:snapToGrid/>
        <w:spacing w:after="0" w:line="550" w:lineRule="exact"/>
        <w:ind w:firstLine="643" w:firstLineChars="200"/>
        <w:textAlignment w:val="auto"/>
        <w:rPr>
          <w:rFonts w:hint="eastAsia" w:ascii="方正仿宋_GBK" w:hAnsi="方正仿宋_GBK" w:eastAsia="方正仿宋_GBK" w:cs="方正仿宋_GBK"/>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本细则自印发之日起实施，实施期限至2025年12月31日。</w:t>
      </w:r>
    </w:p>
    <w:p>
      <w:pPr>
        <w:rPr>
          <w:rFonts w:hint="eastAsia" w:ascii="黑体" w:hAnsi="黑体" w:eastAsia="黑体" w:cs="黑体"/>
          <w:sz w:val="36"/>
          <w:szCs w:val="36"/>
        </w:rPr>
      </w:pPr>
      <w:r>
        <w:rPr>
          <w:rFonts w:hint="eastAsia" w:ascii="黑体" w:hAnsi="黑体" w:eastAsia="黑体" w:cs="黑体"/>
          <w:sz w:val="36"/>
          <w:szCs w:val="36"/>
        </w:rPr>
        <w:br w:type="page"/>
      </w:r>
    </w:p>
    <w:p>
      <w:pPr>
        <w:spacing w:line="560" w:lineRule="exact"/>
        <w:rPr>
          <w:rFonts w:hint="eastAsia" w:ascii="黑体" w:hAnsi="黑体" w:eastAsia="黑体" w:cs="黑体"/>
          <w:sz w:val="36"/>
          <w:szCs w:val="36"/>
        </w:rPr>
      </w:pPr>
      <w:r>
        <w:rPr>
          <w:rFonts w:hint="eastAsia" w:ascii="黑体" w:hAnsi="黑体" w:eastAsia="黑体" w:cs="黑体"/>
          <w:sz w:val="36"/>
          <w:szCs w:val="36"/>
        </w:rPr>
        <w:t>附表1：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盱眙县农村客运补贴和城市交通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发展奖励资金基数情况表</w:t>
      </w:r>
    </w:p>
    <w:p>
      <w:pPr>
        <w:spacing w:line="560" w:lineRule="exact"/>
        <w:jc w:val="right"/>
        <w:rPr>
          <w:rFonts w:ascii="仿宋" w:hAnsi="仿宋" w:eastAsia="仿宋" w:cs="仿宋"/>
          <w:sz w:val="28"/>
          <w:szCs w:val="28"/>
        </w:rPr>
      </w:pPr>
      <w:r>
        <w:rPr>
          <w:rFonts w:hint="eastAsia" w:ascii="仿宋" w:hAnsi="仿宋" w:eastAsia="仿宋" w:cs="仿宋"/>
          <w:sz w:val="28"/>
          <w:szCs w:val="28"/>
        </w:rPr>
        <w:t>单位：万元</w:t>
      </w:r>
    </w:p>
    <w:tbl>
      <w:tblPr>
        <w:tblStyle w:val="17"/>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6"/>
        <w:gridCol w:w="1134"/>
        <w:gridCol w:w="1134"/>
        <w:gridCol w:w="709"/>
        <w:gridCol w:w="1134"/>
        <w:gridCol w:w="851"/>
        <w:gridCol w:w="1140"/>
        <w:gridCol w:w="1411"/>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69" w:hRule="atLeast"/>
          <w:jc w:val="center"/>
        </w:trPr>
        <w:tc>
          <w:tcPr>
            <w:tcW w:w="1187" w:type="dxa"/>
            <w:vMerge w:val="restart"/>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地区</w:t>
            </w:r>
          </w:p>
        </w:tc>
        <w:tc>
          <w:tcPr>
            <w:tcW w:w="6038" w:type="dxa"/>
            <w:gridSpan w:val="6"/>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农村客运补贴资金</w:t>
            </w:r>
          </w:p>
        </w:tc>
        <w:tc>
          <w:tcPr>
            <w:tcW w:w="2551" w:type="dxa"/>
            <w:gridSpan w:val="2"/>
            <w:vMerge w:val="restart"/>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城市交通发展奖励资金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47" w:hRule="atLeast"/>
          <w:jc w:val="center"/>
        </w:trPr>
        <w:tc>
          <w:tcPr>
            <w:tcW w:w="1187" w:type="dxa"/>
            <w:vMerge w:val="continue"/>
            <w:vAlign w:val="center"/>
          </w:tcPr>
          <w:p>
            <w:pPr>
              <w:spacing w:after="0" w:line="560" w:lineRule="exact"/>
              <w:jc w:val="center"/>
              <w:rPr>
                <w:rFonts w:ascii="仿宋" w:hAnsi="仿宋" w:eastAsia="仿宋" w:cs="仿宋"/>
                <w:kern w:val="0"/>
                <w:sz w:val="28"/>
                <w:szCs w:val="28"/>
                <w14:ligatures w14:val="none"/>
              </w:rPr>
            </w:pPr>
          </w:p>
        </w:tc>
        <w:tc>
          <w:tcPr>
            <w:tcW w:w="3344" w:type="dxa"/>
            <w:gridSpan w:val="3"/>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农村道路客运</w:t>
            </w:r>
          </w:p>
        </w:tc>
        <w:tc>
          <w:tcPr>
            <w:tcW w:w="2694" w:type="dxa"/>
            <w:gridSpan w:val="3"/>
            <w:vAlign w:val="center"/>
          </w:tcPr>
          <w:p>
            <w:pPr>
              <w:spacing w:after="0" w:line="560" w:lineRule="exact"/>
              <w:jc w:val="both"/>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岛际和农村水路客运</w:t>
            </w:r>
          </w:p>
        </w:tc>
        <w:tc>
          <w:tcPr>
            <w:tcW w:w="2551" w:type="dxa"/>
            <w:gridSpan w:val="2"/>
            <w:vMerge w:val="continue"/>
            <w:vAlign w:val="center"/>
          </w:tcPr>
          <w:p>
            <w:pPr>
              <w:spacing w:after="0" w:line="560" w:lineRule="exact"/>
              <w:jc w:val="center"/>
              <w:rPr>
                <w:rFonts w:ascii="仿宋" w:hAnsi="仿宋" w:eastAsia="仿宋" w:cs="仿宋"/>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87" w:type="dxa"/>
            <w:vMerge w:val="continue"/>
            <w:vAlign w:val="center"/>
          </w:tcPr>
          <w:p>
            <w:pPr>
              <w:spacing w:after="0" w:line="560" w:lineRule="exact"/>
              <w:jc w:val="center"/>
              <w:rPr>
                <w:rFonts w:ascii="仿宋" w:hAnsi="仿宋" w:eastAsia="仿宋" w:cs="仿宋"/>
                <w:kern w:val="0"/>
                <w:sz w:val="28"/>
                <w:szCs w:val="28"/>
                <w14:ligatures w14:val="none"/>
              </w:rPr>
            </w:pPr>
          </w:p>
        </w:tc>
        <w:tc>
          <w:tcPr>
            <w:tcW w:w="1076"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小计</w:t>
            </w:r>
          </w:p>
        </w:tc>
        <w:tc>
          <w:tcPr>
            <w:tcW w:w="1134"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费改税部分</w:t>
            </w:r>
          </w:p>
        </w:tc>
        <w:tc>
          <w:tcPr>
            <w:tcW w:w="1134"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涨价</w:t>
            </w:r>
          </w:p>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部分</w:t>
            </w:r>
          </w:p>
        </w:tc>
        <w:tc>
          <w:tcPr>
            <w:tcW w:w="709"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小计</w:t>
            </w:r>
          </w:p>
        </w:tc>
        <w:tc>
          <w:tcPr>
            <w:tcW w:w="1134"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费改税部分</w:t>
            </w:r>
          </w:p>
        </w:tc>
        <w:tc>
          <w:tcPr>
            <w:tcW w:w="851"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涨价</w:t>
            </w:r>
          </w:p>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部分</w:t>
            </w:r>
          </w:p>
        </w:tc>
        <w:tc>
          <w:tcPr>
            <w:tcW w:w="1140"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费改税部分</w:t>
            </w:r>
          </w:p>
        </w:tc>
        <w:tc>
          <w:tcPr>
            <w:tcW w:w="1437" w:type="dxa"/>
            <w:gridSpan w:val="2"/>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涨价部分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87"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盱眙县</w:t>
            </w:r>
          </w:p>
        </w:tc>
        <w:tc>
          <w:tcPr>
            <w:tcW w:w="1076"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5</w:t>
            </w:r>
            <w:r>
              <w:rPr>
                <w:rFonts w:ascii="仿宋" w:hAnsi="仿宋" w:eastAsia="仿宋" w:cs="仿宋"/>
                <w:kern w:val="0"/>
                <w:sz w:val="28"/>
                <w:szCs w:val="28"/>
                <w14:ligatures w14:val="none"/>
              </w:rPr>
              <w:t>53.28</w:t>
            </w:r>
          </w:p>
        </w:tc>
        <w:tc>
          <w:tcPr>
            <w:tcW w:w="1134"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160</w:t>
            </w:r>
          </w:p>
        </w:tc>
        <w:tc>
          <w:tcPr>
            <w:tcW w:w="1134"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3</w:t>
            </w:r>
            <w:r>
              <w:rPr>
                <w:rFonts w:ascii="仿宋" w:hAnsi="仿宋" w:eastAsia="仿宋" w:cs="仿宋"/>
                <w:kern w:val="0"/>
                <w:sz w:val="28"/>
                <w:szCs w:val="28"/>
                <w14:ligatures w14:val="none"/>
              </w:rPr>
              <w:t>93.28</w:t>
            </w:r>
          </w:p>
        </w:tc>
        <w:tc>
          <w:tcPr>
            <w:tcW w:w="709"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9</w:t>
            </w:r>
            <w:r>
              <w:rPr>
                <w:rFonts w:ascii="仿宋" w:hAnsi="仿宋" w:eastAsia="仿宋" w:cs="仿宋"/>
                <w:kern w:val="0"/>
                <w:sz w:val="28"/>
                <w:szCs w:val="28"/>
                <w14:ligatures w14:val="none"/>
              </w:rPr>
              <w:t>.8</w:t>
            </w:r>
          </w:p>
        </w:tc>
        <w:tc>
          <w:tcPr>
            <w:tcW w:w="1134"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2.8</w:t>
            </w:r>
          </w:p>
        </w:tc>
        <w:tc>
          <w:tcPr>
            <w:tcW w:w="851"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7</w:t>
            </w:r>
          </w:p>
        </w:tc>
        <w:tc>
          <w:tcPr>
            <w:tcW w:w="1140" w:type="dxa"/>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137</w:t>
            </w:r>
          </w:p>
        </w:tc>
        <w:tc>
          <w:tcPr>
            <w:tcW w:w="1437" w:type="dxa"/>
            <w:gridSpan w:val="2"/>
            <w:vAlign w:val="center"/>
          </w:tcPr>
          <w:p>
            <w:pPr>
              <w:spacing w:after="0" w:line="560" w:lineRule="exact"/>
              <w:jc w:val="center"/>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按当年省级文件下达资金数执行</w:t>
            </w:r>
          </w:p>
        </w:tc>
      </w:tr>
    </w:tbl>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rPr>
          <w:rFonts w:ascii="仿宋_GB2312" w:eastAsia="仿宋_GB2312"/>
          <w:sz w:val="32"/>
          <w:szCs w:val="32"/>
        </w:rPr>
      </w:pPr>
    </w:p>
    <w:sectPr>
      <w:footerReference r:id="rId5" w:type="default"/>
      <w:pgSz w:w="11906" w:h="16838"/>
      <w:pgMar w:top="2098" w:right="1474" w:bottom="181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2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jdiZDA4Zjg0ZGU3ZjE0OTE4YmE2ZWQ1YjE0NDcifQ=="/>
  </w:docVars>
  <w:rsids>
    <w:rsidRoot w:val="00172A27"/>
    <w:rsid w:val="00122141"/>
    <w:rsid w:val="001C59DF"/>
    <w:rsid w:val="003323DF"/>
    <w:rsid w:val="003377A6"/>
    <w:rsid w:val="00517A4E"/>
    <w:rsid w:val="00557A33"/>
    <w:rsid w:val="00762BD8"/>
    <w:rsid w:val="007765D3"/>
    <w:rsid w:val="00793FD2"/>
    <w:rsid w:val="007F1679"/>
    <w:rsid w:val="00815296"/>
    <w:rsid w:val="008338AD"/>
    <w:rsid w:val="00941D3E"/>
    <w:rsid w:val="00971AA1"/>
    <w:rsid w:val="009A05CB"/>
    <w:rsid w:val="009A789C"/>
    <w:rsid w:val="009C23F1"/>
    <w:rsid w:val="009D28B6"/>
    <w:rsid w:val="009E7596"/>
    <w:rsid w:val="00AB4A84"/>
    <w:rsid w:val="00AE1206"/>
    <w:rsid w:val="00C33C56"/>
    <w:rsid w:val="00C73ADD"/>
    <w:rsid w:val="00D147E6"/>
    <w:rsid w:val="00DA108A"/>
    <w:rsid w:val="00DE12D1"/>
    <w:rsid w:val="00F92532"/>
    <w:rsid w:val="00FC2BFB"/>
    <w:rsid w:val="1CDA4664"/>
    <w:rsid w:val="445075F6"/>
    <w:rsid w:val="4A724108"/>
    <w:rsid w:val="7185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link w:val="38"/>
    <w:autoRedefine/>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autoRedefine/>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autoRedefine/>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8"/>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autoRedefine/>
    <w:qFormat/>
    <w:uiPriority w:val="5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3 字符"/>
    <w:basedOn w:val="18"/>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2 字符"/>
    <w:basedOn w:val="18"/>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1 字符"/>
    <w:basedOn w:val="18"/>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4 字符"/>
    <w:basedOn w:val="18"/>
    <w:link w:val="5"/>
    <w:autoRedefine/>
    <w:semiHidden/>
    <w:qFormat/>
    <w:uiPriority w:val="9"/>
    <w:rPr>
      <w:rFonts w:cstheme="majorBidi"/>
      <w:color w:val="104862" w:themeColor="accent1" w:themeShade="BF"/>
      <w:sz w:val="28"/>
      <w:szCs w:val="28"/>
    </w:rPr>
  </w:style>
  <w:style w:type="character" w:customStyle="1" w:styleId="23">
    <w:name w:val="标题 5 字符"/>
    <w:basedOn w:val="18"/>
    <w:link w:val="6"/>
    <w:autoRedefine/>
    <w:semiHidden/>
    <w:qFormat/>
    <w:uiPriority w:val="9"/>
    <w:rPr>
      <w:rFonts w:cstheme="majorBidi"/>
      <w:color w:val="104862" w:themeColor="accent1" w:themeShade="BF"/>
      <w:sz w:val="24"/>
    </w:rPr>
  </w:style>
  <w:style w:type="character" w:customStyle="1" w:styleId="24">
    <w:name w:val="标题 6 字符"/>
    <w:basedOn w:val="18"/>
    <w:link w:val="7"/>
    <w:autoRedefine/>
    <w:semiHidden/>
    <w:qFormat/>
    <w:uiPriority w:val="9"/>
    <w:rPr>
      <w:rFonts w:cstheme="majorBidi"/>
      <w:b/>
      <w:bCs/>
      <w:color w:val="104862" w:themeColor="accent1" w:themeShade="BF"/>
    </w:rPr>
  </w:style>
  <w:style w:type="character" w:customStyle="1" w:styleId="25">
    <w:name w:val="标题 7 字符"/>
    <w:basedOn w:val="18"/>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autoRedefine/>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autoRedefine/>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autoRedefine/>
    <w:qFormat/>
    <w:uiPriority w:val="34"/>
    <w:pPr>
      <w:ind w:left="720"/>
      <w:contextualSpacing/>
    </w:pPr>
  </w:style>
  <w:style w:type="character" w:customStyle="1" w:styleId="33">
    <w:name w:val="Intense Emphasis"/>
    <w:basedOn w:val="18"/>
    <w:autoRedefine/>
    <w:qFormat/>
    <w:uiPriority w:val="21"/>
    <w:rPr>
      <w:i/>
      <w:iCs/>
      <w:color w:val="104862" w:themeColor="accent1" w:themeShade="BF"/>
    </w:rPr>
  </w:style>
  <w:style w:type="paragraph" w:styleId="34">
    <w:name w:val="Intense Quote"/>
    <w:basedOn w:val="1"/>
    <w:next w:val="1"/>
    <w:link w:val="35"/>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autoRedefine/>
    <w:qFormat/>
    <w:uiPriority w:val="30"/>
    <w:rPr>
      <w:i/>
      <w:iCs/>
      <w:color w:val="104862" w:themeColor="accent1" w:themeShade="BF"/>
    </w:rPr>
  </w:style>
  <w:style w:type="character" w:customStyle="1" w:styleId="36">
    <w:name w:val="Intense Reference"/>
    <w:basedOn w:val="18"/>
    <w:autoRedefine/>
    <w:qFormat/>
    <w:uiPriority w:val="32"/>
    <w:rPr>
      <w:b/>
      <w:bCs/>
      <w:smallCaps/>
      <w:color w:val="104862" w:themeColor="accent1" w:themeShade="BF"/>
      <w:spacing w:val="5"/>
    </w:rPr>
  </w:style>
  <w:style w:type="character" w:customStyle="1" w:styleId="37">
    <w:name w:val="页眉 字符"/>
    <w:basedOn w:val="18"/>
    <w:link w:val="12"/>
    <w:autoRedefine/>
    <w:qFormat/>
    <w:uiPriority w:val="99"/>
    <w:rPr>
      <w:sz w:val="18"/>
      <w:szCs w:val="18"/>
    </w:rPr>
  </w:style>
  <w:style w:type="character" w:customStyle="1" w:styleId="38">
    <w:name w:val="页脚 字符"/>
    <w:basedOn w:val="18"/>
    <w:link w:val="11"/>
    <w:autoRedefine/>
    <w:qFormat/>
    <w:uiPriority w:val="99"/>
    <w:rPr>
      <w:sz w:val="18"/>
      <w:szCs w:val="18"/>
    </w:rPr>
  </w:style>
  <w:style w:type="character" w:customStyle="1" w:styleId="39">
    <w:name w:val="10"/>
    <w:basedOn w:val="18"/>
    <w:autoRedefine/>
    <w:qFormat/>
    <w:uiPriority w:val="0"/>
    <w:rPr>
      <w:rFonts w:hint="default" w:ascii="Calibri" w:hAnsi="Calibri" w:cs="Calibri"/>
    </w:rPr>
  </w:style>
  <w:style w:type="character" w:customStyle="1" w:styleId="40">
    <w:name w:val="15"/>
    <w:basedOn w:val="18"/>
    <w:autoRedefine/>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292</Words>
  <Characters>1667</Characters>
  <Lines>1</Lines>
  <Paragraphs>1</Paragraphs>
  <TotalTime>53</TotalTime>
  <ScaleCrop>false</ScaleCrop>
  <LinksUpToDate>false</LinksUpToDate>
  <CharactersWithSpaces>1956</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2024-03-01T01:04:00Z</dcterms:created>
  <dc:creator>501896982@qq.com</dc:creator>
  <cp:lastModifiedBy>办公</cp:lastModifiedBy>
  <cp:lastPrinted>2024-03-04T02:56:00Z</cp:lastPrinted>
  <dcterms:modified xsi:type="dcterms:W3CDTF">2024-05-08T07:45:47Z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DAEBD3616A53438CBD3D98CFF2FCE147_13</vt:lpwstr>
  </property>
</Properties>
</file>